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年度依法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行政经费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　　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       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       </w:t>
      </w:r>
    </w:p>
    <w:tbl>
      <w:tblPr>
        <w:tblStyle w:val="2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eastAsia="zh-CN"/>
              </w:rPr>
              <w:t>依法行政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</w:rPr>
              <w:t>区司法局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</w:rPr>
              <w:t>依法行政科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15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6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0397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40.26%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Calibri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eastAsia="zh-CN"/>
              </w:rPr>
              <w:t>培训人次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≧</w:t>
            </w: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/>
              </w:rPr>
              <w:t>150人次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案件评查质量；行政复议基础设施质量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jc w:val="center"/>
              <w:rPr>
                <w:rFonts w:hint="default" w:ascii="宋体" w:hAnsi="Calibri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  <w:t>优秀、良好案卷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≧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  <w:t>80%；行政复议基础设施符合上级标准，正常运行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依法行政工作社会影响力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有所提升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业务科室对案卷评查质量进行评价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优秀、良好案卷≧80%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项目中行政复议中心建设费用由中央转移支付（业务费）列支，故未使用。</w:t>
            </w: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案卷评查工作中，经与政府法律顾问协商，未收取相关费用。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cs="Times New Roman"/>
                <w:kern w:val="0"/>
                <w:szCs w:val="22"/>
                <w:lang w:val="en-US" w:eastAsia="zh-CN"/>
              </w:rPr>
              <w:t>提档升级行政复议接待中心整体形象，营造浓厚的法治文化氛围，充分宣传依法行政工作相关内容，在东三楼走廊和办公室、功能室内部设计安装文化墙、宣传栏、宣传图文、上墙制度等。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新增一家律师事务所作为政府法律顾问，进一步充实法律顾问团队人员力量，在案卷评查工作中充分发挥律师作用。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C742B"/>
    <w:multiLevelType w:val="singleLevel"/>
    <w:tmpl w:val="1BFC742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81D2544"/>
    <w:multiLevelType w:val="singleLevel"/>
    <w:tmpl w:val="581D254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DA5F53"/>
    <w:rsid w:val="1A6616BD"/>
    <w:rsid w:val="22661DEC"/>
    <w:rsid w:val="273B365E"/>
    <w:rsid w:val="48907069"/>
    <w:rsid w:val="5E0912C1"/>
    <w:rsid w:val="65DA5F53"/>
    <w:rsid w:val="6C0D5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2021-02-02T03:31:00Z</dcterms:created>
  <dc:creator>Administrator</dc:creator>
  <cp:lastModifiedBy>乐1425723560</cp:lastModifiedBy>
  <cp:lastPrinted>2021-03-11T02:18:37Z</cp:lastPrinted>
  <dcterms:modified xsi:type="dcterms:W3CDTF">2021-03-11T02:38:39Z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